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57" w:rsidRPr="00026E35" w:rsidRDefault="00026E35" w:rsidP="00026E35">
      <w:pPr>
        <w:jc w:val="center"/>
        <w:rPr>
          <w:b/>
        </w:rPr>
      </w:pPr>
      <w:proofErr w:type="spellStart"/>
      <w:r w:rsidRPr="00026E35">
        <w:rPr>
          <w:b/>
        </w:rPr>
        <w:t>Kool-aid</w:t>
      </w:r>
      <w:proofErr w:type="spellEnd"/>
      <w:r w:rsidRPr="00026E35">
        <w:rPr>
          <w:b/>
        </w:rPr>
        <w:t xml:space="preserve"> Molarity Lab</w:t>
      </w:r>
    </w:p>
    <w:p w:rsidR="00026E35" w:rsidRDefault="00026E35"/>
    <w:p w:rsidR="00026E35" w:rsidRDefault="00026E35">
      <w:r>
        <w:t>Teacher Instructions</w:t>
      </w:r>
    </w:p>
    <w:p w:rsidR="00026E35" w:rsidRDefault="00026E35" w:rsidP="00026E35">
      <w:pPr>
        <w:pStyle w:val="normal0"/>
        <w:rPr>
          <w:b/>
          <w:sz w:val="32"/>
          <w:szCs w:val="32"/>
        </w:rPr>
      </w:pPr>
      <w:bookmarkStart w:id="0" w:name="_GoBack"/>
      <w:bookmarkEnd w:id="0"/>
    </w:p>
    <w:p w:rsidR="00026E35" w:rsidRDefault="00026E35" w:rsidP="00026E35">
      <w:pPr>
        <w:pStyle w:val="normal0"/>
        <w:rPr>
          <w:u w:val="single"/>
        </w:rPr>
      </w:pPr>
      <w:r>
        <w:rPr>
          <w:u w:val="single"/>
        </w:rPr>
        <w:t xml:space="preserve">Objectives:  </w:t>
      </w:r>
    </w:p>
    <w:p w:rsidR="00026E35" w:rsidRDefault="00026E35" w:rsidP="00026E35">
      <w:pPr>
        <w:pStyle w:val="normal0"/>
        <w:numPr>
          <w:ilvl w:val="0"/>
          <w:numId w:val="1"/>
        </w:numPr>
        <w:pBdr>
          <w:top w:val="nil"/>
          <w:left w:val="nil"/>
          <w:bottom w:val="nil"/>
          <w:right w:val="nil"/>
          <w:between w:val="nil"/>
        </w:pBdr>
        <w:contextualSpacing/>
      </w:pPr>
      <w:r>
        <w:rPr>
          <w:color w:val="000000"/>
        </w:rPr>
        <w:t>Students will use taste sense to connect ideas of concentration.</w:t>
      </w:r>
    </w:p>
    <w:p w:rsidR="00026E35" w:rsidRPr="00026E35" w:rsidRDefault="00026E35" w:rsidP="00026E35">
      <w:pPr>
        <w:pStyle w:val="normal0"/>
        <w:numPr>
          <w:ilvl w:val="0"/>
          <w:numId w:val="1"/>
        </w:numPr>
        <w:pBdr>
          <w:top w:val="nil"/>
          <w:left w:val="nil"/>
          <w:bottom w:val="nil"/>
          <w:right w:val="nil"/>
          <w:between w:val="nil"/>
        </w:pBdr>
        <w:contextualSpacing/>
      </w:pPr>
      <w:r>
        <w:rPr>
          <w:color w:val="000000"/>
        </w:rPr>
        <w:t>Students will calculate the molarity of a solution.</w:t>
      </w:r>
    </w:p>
    <w:p w:rsidR="00026E35" w:rsidRDefault="00026E35" w:rsidP="00026E35">
      <w:pPr>
        <w:pStyle w:val="normal0"/>
        <w:pBdr>
          <w:top w:val="nil"/>
          <w:left w:val="nil"/>
          <w:bottom w:val="nil"/>
          <w:right w:val="nil"/>
          <w:between w:val="nil"/>
        </w:pBdr>
        <w:contextualSpacing/>
        <w:rPr>
          <w:color w:val="000000"/>
        </w:rPr>
      </w:pPr>
    </w:p>
    <w:p w:rsidR="00026E35" w:rsidRDefault="00026E35" w:rsidP="00026E35">
      <w:pPr>
        <w:pStyle w:val="normal0"/>
        <w:pBdr>
          <w:top w:val="nil"/>
          <w:left w:val="nil"/>
          <w:bottom w:val="nil"/>
          <w:right w:val="nil"/>
          <w:between w:val="nil"/>
        </w:pBdr>
        <w:contextualSpacing/>
      </w:pPr>
      <w:r>
        <w:rPr>
          <w:color w:val="000000"/>
        </w:rPr>
        <w:t>Possible Extension:</w:t>
      </w:r>
    </w:p>
    <w:p w:rsidR="00026E35" w:rsidRDefault="00026E35" w:rsidP="00026E35">
      <w:pPr>
        <w:pStyle w:val="normal0"/>
        <w:numPr>
          <w:ilvl w:val="0"/>
          <w:numId w:val="1"/>
        </w:numPr>
        <w:pBdr>
          <w:top w:val="nil"/>
          <w:left w:val="nil"/>
          <w:bottom w:val="nil"/>
          <w:right w:val="nil"/>
          <w:between w:val="nil"/>
        </w:pBdr>
        <w:contextualSpacing/>
      </w:pPr>
      <w:r>
        <w:rPr>
          <w:color w:val="000000"/>
        </w:rPr>
        <w:t>Students will use UV-Vis spectroscopy and Beer’s Law to analyze the flavoring concentration in a drink.</w:t>
      </w:r>
    </w:p>
    <w:p w:rsidR="00026E35" w:rsidRDefault="00026E35" w:rsidP="00026E35">
      <w:pPr>
        <w:pStyle w:val="normal0"/>
      </w:pPr>
    </w:p>
    <w:p w:rsidR="00026E35" w:rsidRDefault="00026E35" w:rsidP="00026E35">
      <w:pPr>
        <w:pStyle w:val="normal0"/>
        <w:rPr>
          <w:u w:val="single"/>
        </w:rPr>
      </w:pPr>
      <w:r>
        <w:rPr>
          <w:u w:val="single"/>
        </w:rPr>
        <w:t>Standards:</w:t>
      </w:r>
    </w:p>
    <w:p w:rsidR="00026E35" w:rsidRDefault="00026E35" w:rsidP="00026E35">
      <w:pPr>
        <w:pStyle w:val="normal0"/>
      </w:pPr>
      <w:r>
        <w:t>Nebrask</w:t>
      </w:r>
      <w:r>
        <w:t xml:space="preserve">a State Standards:  SC.HSP.3.1, </w:t>
      </w:r>
      <w:r>
        <w:t>SC.HSP.3.3.G, SC.HSP.4.2, SC.HSP.5.3.A, SC.HSP.5.3.D</w:t>
      </w:r>
    </w:p>
    <w:p w:rsidR="00026E35" w:rsidRDefault="00026E35" w:rsidP="00026E35">
      <w:pPr>
        <w:pStyle w:val="normal0"/>
      </w:pPr>
    </w:p>
    <w:p w:rsidR="00026E35" w:rsidRDefault="00026E35" w:rsidP="00026E35">
      <w:pPr>
        <w:pStyle w:val="normal0"/>
        <w:rPr>
          <w:u w:val="single"/>
        </w:rPr>
      </w:pPr>
      <w:r>
        <w:rPr>
          <w:u w:val="single"/>
        </w:rPr>
        <w:t>Overview:</w:t>
      </w:r>
    </w:p>
    <w:p w:rsidR="00026E35" w:rsidRDefault="00026E35" w:rsidP="00026E35">
      <w:pPr>
        <w:pStyle w:val="normal0"/>
      </w:pPr>
      <w:r>
        <w:t xml:space="preserve">In a unit of solution chemistry, students will have a </w:t>
      </w:r>
      <w:proofErr w:type="spellStart"/>
      <w:r>
        <w:t>kool-aid</w:t>
      </w:r>
      <w:proofErr w:type="spellEnd"/>
      <w:r>
        <w:t xml:space="preserve"> tasting tour to determine the preferred concentration of sugar in </w:t>
      </w:r>
      <w:proofErr w:type="spellStart"/>
      <w:r>
        <w:t>kool-aid</w:t>
      </w:r>
      <w:proofErr w:type="spellEnd"/>
      <w:r>
        <w:t xml:space="preserve"> solution.  They then perform molarity calculations to determine the concentrations of sugar in each solution when given the recipe for each.  </w:t>
      </w:r>
    </w:p>
    <w:p w:rsidR="00026E35" w:rsidRDefault="00026E35" w:rsidP="00026E35">
      <w:pPr>
        <w:pStyle w:val="normal0"/>
      </w:pPr>
    </w:p>
    <w:p w:rsidR="00026E35" w:rsidRDefault="00026E35" w:rsidP="00026E35">
      <w:pPr>
        <w:pStyle w:val="normal0"/>
      </w:pPr>
      <w:r>
        <w:t xml:space="preserve">Extension: </w:t>
      </w:r>
      <w:r>
        <w:t xml:space="preserve">To take this one step further, students will be given the problem of the Queen of England will be visiting and she only likes blue </w:t>
      </w:r>
      <w:proofErr w:type="spellStart"/>
      <w:r>
        <w:t>kool-aid</w:t>
      </w:r>
      <w:proofErr w:type="spellEnd"/>
      <w:r>
        <w:t xml:space="preserve"> with a specific concentration of flavoring that is not too tart. They will be given a solution of </w:t>
      </w:r>
      <w:proofErr w:type="spellStart"/>
      <w:r>
        <w:t>kool-aid</w:t>
      </w:r>
      <w:proofErr w:type="spellEnd"/>
      <w:r>
        <w:t xml:space="preserve"> that is “the Queen’s favorite,” and they will need to use spectroscopy using a </w:t>
      </w:r>
      <w:proofErr w:type="spellStart"/>
      <w:r>
        <w:t>Vernier</w:t>
      </w:r>
      <w:proofErr w:type="spellEnd"/>
      <w:r>
        <w:t xml:space="preserve"> colorimeter to find the concentration in order to more easily make the solution when she visits.  The students will use the known concentrations to form a calibration curve, and then analyze the unknown to determine the concentration.</w:t>
      </w:r>
    </w:p>
    <w:p w:rsidR="00026E35" w:rsidRDefault="00026E35" w:rsidP="00026E35">
      <w:pPr>
        <w:pStyle w:val="normal0"/>
      </w:pPr>
    </w:p>
    <w:p w:rsidR="00026E35" w:rsidRDefault="00026E35" w:rsidP="00026E35">
      <w:pPr>
        <w:pStyle w:val="normal0"/>
        <w:rPr>
          <w:b/>
          <w:u w:val="single"/>
        </w:rPr>
      </w:pPr>
      <w:r>
        <w:rPr>
          <w:b/>
          <w:u w:val="single"/>
        </w:rPr>
        <w:t xml:space="preserve">Day 1: Meaning of concentration and </w:t>
      </w:r>
      <w:proofErr w:type="spellStart"/>
      <w:r>
        <w:rPr>
          <w:b/>
          <w:u w:val="single"/>
        </w:rPr>
        <w:t>Kool-aid</w:t>
      </w:r>
      <w:proofErr w:type="spellEnd"/>
      <w:r>
        <w:rPr>
          <w:b/>
          <w:u w:val="single"/>
        </w:rPr>
        <w:t xml:space="preserve"> Tasting Tour</w:t>
      </w:r>
    </w:p>
    <w:p w:rsidR="00026E35" w:rsidRDefault="00026E35" w:rsidP="00026E35">
      <w:pPr>
        <w:pStyle w:val="normal0"/>
      </w:pPr>
    </w:p>
    <w:p w:rsidR="00026E35" w:rsidRDefault="00026E35" w:rsidP="00026E35">
      <w:pPr>
        <w:pStyle w:val="normal0"/>
      </w:pPr>
      <w:r>
        <w:rPr>
          <w:u w:val="single"/>
        </w:rPr>
        <w:t>Bell ringer</w:t>
      </w:r>
      <w:r>
        <w:t>: Students will be asked to define concentration and to give an example.</w:t>
      </w:r>
    </w:p>
    <w:p w:rsidR="00026E35" w:rsidRDefault="00026E35" w:rsidP="00026E35">
      <w:pPr>
        <w:pStyle w:val="normal0"/>
      </w:pPr>
    </w:p>
    <w:p w:rsidR="00026E35" w:rsidRDefault="00026E35" w:rsidP="00026E35">
      <w:pPr>
        <w:pStyle w:val="normal0"/>
      </w:pPr>
      <w:r>
        <w:rPr>
          <w:u w:val="single"/>
        </w:rPr>
        <w:t>Engage</w:t>
      </w:r>
      <w:r>
        <w:t xml:space="preserve">: Using the </w:t>
      </w:r>
      <w:proofErr w:type="spellStart"/>
      <w:r>
        <w:t>bellringer</w:t>
      </w:r>
      <w:proofErr w:type="spellEnd"/>
      <w:r>
        <w:t xml:space="preserve"> question, we will discuss as a class what concentration means and the examples given.  Some examples might include concentrated acid, the concentration of oxygen for oxygen masks, the concentration of fish in a lake, concentration of people in a city, urine and hydration, etc.</w:t>
      </w:r>
    </w:p>
    <w:p w:rsidR="00026E35" w:rsidRDefault="00026E35" w:rsidP="00026E35">
      <w:pPr>
        <w:pStyle w:val="normal0"/>
      </w:pPr>
    </w:p>
    <w:p w:rsidR="00026E35" w:rsidRDefault="00026E35" w:rsidP="00026E35">
      <w:pPr>
        <w:pStyle w:val="normal0"/>
      </w:pPr>
      <w:r>
        <w:rPr>
          <w:u w:val="single"/>
        </w:rPr>
        <w:t>Explore</w:t>
      </w:r>
      <w:r>
        <w:t xml:space="preserve">: Students will use small cups to go on a tasting tour around the room, tasting various solutions of </w:t>
      </w:r>
      <w:proofErr w:type="spellStart"/>
      <w:r>
        <w:t>kool-aid</w:t>
      </w:r>
      <w:proofErr w:type="spellEnd"/>
      <w:r>
        <w:t xml:space="preserve"> with differing amounts of sugar.  Students will take a poll to determine what the preferred solution was.  Students will generate a ranking of concentration based on the taste observations.</w:t>
      </w:r>
    </w:p>
    <w:p w:rsidR="00026E35" w:rsidRDefault="00026E35" w:rsidP="00026E35">
      <w:pPr>
        <w:pStyle w:val="normal0"/>
      </w:pPr>
      <w:r>
        <w:t>*</w:t>
      </w:r>
      <w:hyperlink r:id="rId6">
        <w:proofErr w:type="spellStart"/>
        <w:r>
          <w:rPr>
            <w:color w:val="1155CC"/>
            <w:u w:val="single"/>
          </w:rPr>
          <w:t>Kool-aid</w:t>
        </w:r>
        <w:proofErr w:type="spellEnd"/>
        <w:r>
          <w:rPr>
            <w:color w:val="1155CC"/>
            <w:u w:val="single"/>
          </w:rPr>
          <w:t xml:space="preserve"> Molarity Lab</w:t>
        </w:r>
      </w:hyperlink>
    </w:p>
    <w:p w:rsidR="00026E35" w:rsidRDefault="00026E35" w:rsidP="00026E35">
      <w:pPr>
        <w:pStyle w:val="normal0"/>
      </w:pPr>
    </w:p>
    <w:p w:rsidR="00026E35" w:rsidRDefault="00026E35" w:rsidP="00026E35">
      <w:pPr>
        <w:pStyle w:val="normal0"/>
      </w:pPr>
      <w:r>
        <w:rPr>
          <w:u w:val="single"/>
        </w:rPr>
        <w:lastRenderedPageBreak/>
        <w:t>Homework:</w:t>
      </w:r>
      <w:r>
        <w:t xml:space="preserve"> Watch flipped video notes on Molarity</w:t>
      </w:r>
    </w:p>
    <w:p w:rsidR="00026E35" w:rsidRDefault="00026E35" w:rsidP="00026E35">
      <w:pPr>
        <w:pStyle w:val="normal0"/>
      </w:pPr>
      <w:r>
        <w:t>Using flipped video notes, students will be introduced to molarity and the units of the quantity.</w:t>
      </w:r>
    </w:p>
    <w:p w:rsidR="00026E35" w:rsidRDefault="00026E35" w:rsidP="00026E35">
      <w:pPr>
        <w:pStyle w:val="normal0"/>
      </w:pPr>
      <w:r>
        <w:t>*</w:t>
      </w:r>
      <w:hyperlink r:id="rId7">
        <w:r>
          <w:rPr>
            <w:color w:val="1155CC"/>
            <w:u w:val="single"/>
          </w:rPr>
          <w:t>Molarity video notes</w:t>
        </w:r>
      </w:hyperlink>
    </w:p>
    <w:p w:rsidR="00026E35" w:rsidRDefault="00026E35" w:rsidP="00026E35">
      <w:pPr>
        <w:pStyle w:val="normal0"/>
      </w:pPr>
    </w:p>
    <w:p w:rsidR="00026E35" w:rsidRDefault="00026E35" w:rsidP="00026E35">
      <w:pPr>
        <w:pStyle w:val="normal0"/>
        <w:rPr>
          <w:b/>
          <w:u w:val="single"/>
        </w:rPr>
      </w:pPr>
    </w:p>
    <w:p w:rsidR="00026E35" w:rsidRDefault="00026E35" w:rsidP="00026E35">
      <w:pPr>
        <w:pStyle w:val="normal0"/>
        <w:rPr>
          <w:b/>
          <w:u w:val="single"/>
        </w:rPr>
      </w:pPr>
    </w:p>
    <w:p w:rsidR="00026E35" w:rsidRDefault="00026E35" w:rsidP="00026E35">
      <w:pPr>
        <w:pStyle w:val="normal0"/>
        <w:rPr>
          <w:b/>
          <w:u w:val="single"/>
        </w:rPr>
      </w:pPr>
      <w:r>
        <w:rPr>
          <w:b/>
          <w:u w:val="single"/>
        </w:rPr>
        <w:t>Day 2: Calculating Molarity</w:t>
      </w:r>
    </w:p>
    <w:p w:rsidR="00026E35" w:rsidRDefault="00026E35" w:rsidP="00026E35">
      <w:pPr>
        <w:pStyle w:val="normal0"/>
      </w:pPr>
    </w:p>
    <w:p w:rsidR="00026E35" w:rsidRDefault="00026E35" w:rsidP="00026E35">
      <w:pPr>
        <w:pStyle w:val="normal0"/>
      </w:pPr>
      <w:r>
        <w:rPr>
          <w:u w:val="single"/>
        </w:rPr>
        <w:t>Bell Ringer:</w:t>
      </w:r>
      <w:r>
        <w:t xml:space="preserve"> Students will be asked to give the units of molarity and to connect these units to the sugar concentration gradient they came up with for the previous day’s lab.</w:t>
      </w:r>
    </w:p>
    <w:p w:rsidR="00026E35" w:rsidRDefault="00026E35" w:rsidP="00026E35">
      <w:pPr>
        <w:pStyle w:val="normal0"/>
      </w:pPr>
    </w:p>
    <w:p w:rsidR="00026E35" w:rsidRDefault="00026E35" w:rsidP="00026E35">
      <w:pPr>
        <w:pStyle w:val="normal0"/>
      </w:pPr>
      <w:r>
        <w:rPr>
          <w:u w:val="single"/>
        </w:rPr>
        <w:t>Explain:</w:t>
      </w:r>
      <w:r>
        <w:t xml:space="preserve"> As a class, we will discuss the bell ringer question and re-examine the sugar gradient the class came up with.  The students will be given the recipe from the </w:t>
      </w:r>
      <w:proofErr w:type="spellStart"/>
      <w:r>
        <w:t>Kool-aid</w:t>
      </w:r>
      <w:proofErr w:type="spellEnd"/>
      <w:r>
        <w:t xml:space="preserve"> packet and we will calculate the molarity of the recipe together as a class. </w:t>
      </w:r>
    </w:p>
    <w:p w:rsidR="00026E35" w:rsidRDefault="00026E35" w:rsidP="00026E35">
      <w:pPr>
        <w:pStyle w:val="normal0"/>
      </w:pPr>
      <w:r>
        <w:t xml:space="preserve">The concentrations of each </w:t>
      </w:r>
      <w:proofErr w:type="spellStart"/>
      <w:r>
        <w:t>Kool-aid</w:t>
      </w:r>
      <w:proofErr w:type="spellEnd"/>
      <w:r>
        <w:t xml:space="preserve"> solution from the tasting tour will be given to them, and they will calculate the molarity for each one. Finally, they will write a conclusion about the preferred molarity of their solution based on their data.</w:t>
      </w:r>
    </w:p>
    <w:p w:rsidR="00026E35" w:rsidRDefault="00026E35" w:rsidP="00026E35">
      <w:pPr>
        <w:pStyle w:val="normal0"/>
      </w:pPr>
    </w:p>
    <w:p w:rsidR="00026E35" w:rsidRDefault="00026E35" w:rsidP="00026E35">
      <w:pPr>
        <w:pStyle w:val="normal0"/>
      </w:pPr>
      <w:r>
        <w:rPr>
          <w:u w:val="single"/>
        </w:rPr>
        <w:t>Elaborate:</w:t>
      </w:r>
      <w:r>
        <w:t xml:space="preserve"> Students will complete the Molarity Practice worksheet to continue working and practicing with molarity calculations.</w:t>
      </w:r>
    </w:p>
    <w:p w:rsidR="00026E35" w:rsidRDefault="00026E35" w:rsidP="00026E35">
      <w:pPr>
        <w:pStyle w:val="normal0"/>
      </w:pPr>
      <w:r>
        <w:t>*</w:t>
      </w:r>
      <w:hyperlink r:id="rId8">
        <w:r>
          <w:rPr>
            <w:color w:val="1155CC"/>
            <w:u w:val="single"/>
          </w:rPr>
          <w:t>Molarity worksheet #1-5</w:t>
        </w:r>
      </w:hyperlink>
    </w:p>
    <w:p w:rsidR="00026E35" w:rsidRDefault="00026E35"/>
    <w:p w:rsidR="00026E35" w:rsidRDefault="00026E35"/>
    <w:p w:rsidR="00026E35" w:rsidRPr="00026E35" w:rsidRDefault="00026E35">
      <w:pPr>
        <w:rPr>
          <w:b/>
          <w:sz w:val="28"/>
          <w:szCs w:val="28"/>
        </w:rPr>
      </w:pPr>
      <w:r w:rsidRPr="00026E35">
        <w:rPr>
          <w:b/>
          <w:sz w:val="28"/>
          <w:szCs w:val="28"/>
        </w:rPr>
        <w:t>Extension:</w:t>
      </w:r>
    </w:p>
    <w:p w:rsidR="00026E35" w:rsidRDefault="00026E35" w:rsidP="00026E35">
      <w:pPr>
        <w:pStyle w:val="normal0"/>
        <w:rPr>
          <w:b/>
        </w:rPr>
      </w:pPr>
      <w:r>
        <w:rPr>
          <w:b/>
        </w:rPr>
        <w:t>Day 3: Queen’s Concentration Problem</w:t>
      </w:r>
    </w:p>
    <w:p w:rsidR="00026E35" w:rsidRDefault="00026E35" w:rsidP="00026E35">
      <w:pPr>
        <w:pStyle w:val="normal0"/>
      </w:pPr>
      <w:r>
        <w:rPr>
          <w:u w:val="single"/>
        </w:rPr>
        <w:t>Bell ringer</w:t>
      </w:r>
      <w:r>
        <w:t>: Students will look at different colored solutions to qualitatively determine concentration.  Then they will be given amounts and practice calculating the actual molarity.</w:t>
      </w:r>
    </w:p>
    <w:p w:rsidR="00026E35" w:rsidRDefault="00026E35" w:rsidP="00026E35">
      <w:pPr>
        <w:pStyle w:val="normal0"/>
      </w:pPr>
    </w:p>
    <w:p w:rsidR="00026E35" w:rsidRDefault="00026E35" w:rsidP="00026E35">
      <w:pPr>
        <w:pStyle w:val="normal0"/>
      </w:pPr>
      <w:r>
        <w:rPr>
          <w:u w:val="single"/>
        </w:rPr>
        <w:t>Evaluate:</w:t>
      </w:r>
      <w:r>
        <w:t xml:space="preserve"> As a class, we will check the answers that were</w:t>
      </w:r>
      <w:r>
        <w:t xml:space="preserve"> calculated from the </w:t>
      </w:r>
      <w:proofErr w:type="spellStart"/>
      <w:r>
        <w:t>bellringer</w:t>
      </w:r>
      <w:proofErr w:type="spellEnd"/>
      <w:r>
        <w:t>, especially focusing on meaning and giving words to what the numbers mean.</w:t>
      </w:r>
    </w:p>
    <w:p w:rsidR="00026E35" w:rsidRDefault="00026E35" w:rsidP="00026E35">
      <w:pPr>
        <w:pStyle w:val="normal0"/>
      </w:pPr>
    </w:p>
    <w:p w:rsidR="00026E35" w:rsidRDefault="00026E35" w:rsidP="00026E35">
      <w:pPr>
        <w:pStyle w:val="normal0"/>
      </w:pPr>
      <w:r>
        <w:rPr>
          <w:u w:val="single"/>
        </w:rPr>
        <w:t>Extend:</w:t>
      </w:r>
      <w:r>
        <w:t xml:space="preserve"> Students will be introduced to the problem of the “Queen’s Drink.” </w:t>
      </w:r>
    </w:p>
    <w:p w:rsidR="00026E35" w:rsidRDefault="00026E35" w:rsidP="00026E35">
      <w:pPr>
        <w:pStyle w:val="normal0"/>
      </w:pPr>
    </w:p>
    <w:p w:rsidR="00026E35" w:rsidRDefault="00026E35" w:rsidP="00026E35">
      <w:pPr>
        <w:pStyle w:val="normal0"/>
      </w:pPr>
      <w:r>
        <w:t xml:space="preserve">Problem: The Queen of England will be visiting and she only likes blue </w:t>
      </w:r>
      <w:proofErr w:type="spellStart"/>
      <w:r>
        <w:t>kool-aid</w:t>
      </w:r>
      <w:proofErr w:type="spellEnd"/>
      <w:r>
        <w:t xml:space="preserve"> with a specific concentration of flavoring in order to not be too tart and a 0.18M concentration of sugar. A perfect solution has been sent so we will have time to analyze it and make sure we can make it for her visit. </w:t>
      </w:r>
    </w:p>
    <w:p w:rsidR="00026E35" w:rsidRDefault="00026E35" w:rsidP="00026E35">
      <w:pPr>
        <w:pStyle w:val="normal0"/>
      </w:pPr>
    </w:p>
    <w:p w:rsidR="00026E35" w:rsidRDefault="00026E35" w:rsidP="00026E35">
      <w:pPr>
        <w:pStyle w:val="normal0"/>
      </w:pPr>
      <w:r>
        <w:t>The question will be posed to them as to how to figure this out.  Students will be given multiple resources and will use a station format to explore:</w:t>
      </w:r>
    </w:p>
    <w:p w:rsidR="00026E35" w:rsidRDefault="00026E35" w:rsidP="00026E35">
      <w:pPr>
        <w:pStyle w:val="normal0"/>
        <w:numPr>
          <w:ilvl w:val="0"/>
          <w:numId w:val="2"/>
        </w:numPr>
        <w:pBdr>
          <w:top w:val="nil"/>
          <w:left w:val="nil"/>
          <w:bottom w:val="nil"/>
          <w:right w:val="nil"/>
          <w:between w:val="nil"/>
        </w:pBdr>
        <w:contextualSpacing/>
      </w:pPr>
      <w:r>
        <w:rPr>
          <w:color w:val="000000"/>
        </w:rPr>
        <w:t xml:space="preserve">Meet with teacher to review all molarity concepts and dilution. Practice dilution problems. </w:t>
      </w:r>
    </w:p>
    <w:p w:rsidR="00026E35" w:rsidRDefault="00026E35" w:rsidP="00026E35">
      <w:pPr>
        <w:pStyle w:val="normal0"/>
        <w:numPr>
          <w:ilvl w:val="0"/>
          <w:numId w:val="2"/>
        </w:numPr>
        <w:pBdr>
          <w:top w:val="nil"/>
          <w:left w:val="nil"/>
          <w:bottom w:val="nil"/>
          <w:right w:val="nil"/>
          <w:between w:val="nil"/>
        </w:pBdr>
        <w:contextualSpacing/>
        <w:rPr>
          <w:rFonts w:ascii="Times" w:eastAsia="Times" w:hAnsi="Times" w:cs="Times"/>
          <w:color w:val="000000"/>
          <w:sz w:val="20"/>
          <w:szCs w:val="20"/>
        </w:rPr>
      </w:pPr>
      <w:r>
        <w:rPr>
          <w:color w:val="000000"/>
        </w:rPr>
        <w:t xml:space="preserve">Read through online written article resource: </w:t>
      </w:r>
      <w:hyperlink r:id="rId9">
        <w:r>
          <w:rPr>
            <w:rFonts w:ascii="Helvetica Neue" w:eastAsia="Helvetica Neue" w:hAnsi="Helvetica Neue" w:cs="Helvetica Neue"/>
            <w:color w:val="1155CC"/>
            <w:sz w:val="20"/>
            <w:szCs w:val="20"/>
            <w:u w:val="single"/>
          </w:rPr>
          <w:t>https://goo.gl/hqL2cu</w:t>
        </w:r>
      </w:hyperlink>
    </w:p>
    <w:p w:rsidR="00026E35" w:rsidRDefault="00026E35" w:rsidP="00026E35">
      <w:pPr>
        <w:pStyle w:val="normal0"/>
        <w:numPr>
          <w:ilvl w:val="0"/>
          <w:numId w:val="2"/>
        </w:numPr>
        <w:pBdr>
          <w:top w:val="nil"/>
          <w:left w:val="nil"/>
          <w:bottom w:val="nil"/>
          <w:right w:val="nil"/>
          <w:between w:val="nil"/>
        </w:pBdr>
        <w:contextualSpacing/>
      </w:pPr>
      <w:r>
        <w:rPr>
          <w:color w:val="000000"/>
        </w:rPr>
        <w:t xml:space="preserve">View video: </w:t>
      </w:r>
      <w:hyperlink r:id="rId10">
        <w:r>
          <w:rPr>
            <w:color w:val="1155CC"/>
            <w:u w:val="single"/>
          </w:rPr>
          <w:t>https://www.youtube.com/watch?v=pxC6F7bK8CU</w:t>
        </w:r>
      </w:hyperlink>
    </w:p>
    <w:p w:rsidR="00026E35" w:rsidRDefault="00026E35" w:rsidP="00026E35">
      <w:pPr>
        <w:pStyle w:val="normal0"/>
        <w:numPr>
          <w:ilvl w:val="0"/>
          <w:numId w:val="2"/>
        </w:numPr>
        <w:pBdr>
          <w:top w:val="nil"/>
          <w:left w:val="nil"/>
          <w:bottom w:val="nil"/>
          <w:right w:val="nil"/>
          <w:between w:val="nil"/>
        </w:pBdr>
        <w:contextualSpacing/>
      </w:pPr>
      <w:r>
        <w:rPr>
          <w:color w:val="000000"/>
        </w:rPr>
        <w:t xml:space="preserve">Explore </w:t>
      </w:r>
      <w:proofErr w:type="spellStart"/>
      <w:r>
        <w:rPr>
          <w:color w:val="000000"/>
        </w:rPr>
        <w:t>Phet</w:t>
      </w:r>
      <w:proofErr w:type="spellEnd"/>
      <w:r>
        <w:rPr>
          <w:color w:val="000000"/>
        </w:rPr>
        <w:t xml:space="preserve"> simulation: </w:t>
      </w:r>
      <w:hyperlink r:id="rId11">
        <w:r>
          <w:rPr>
            <w:rFonts w:ascii="Helvetica Neue" w:eastAsia="Helvetica Neue" w:hAnsi="Helvetica Neue" w:cs="Helvetica Neue"/>
            <w:color w:val="0000FF"/>
            <w:sz w:val="20"/>
            <w:szCs w:val="20"/>
            <w:u w:val="single"/>
          </w:rPr>
          <w:t>https://goo.gl/wovcF8</w:t>
        </w:r>
      </w:hyperlink>
    </w:p>
    <w:p w:rsidR="00026E35" w:rsidRDefault="00026E35" w:rsidP="00026E35">
      <w:pPr>
        <w:pStyle w:val="normal0"/>
      </w:pPr>
      <w:r>
        <w:t>*</w:t>
      </w:r>
      <w:hyperlink r:id="rId12">
        <w:proofErr w:type="spellStart"/>
        <w:r>
          <w:rPr>
            <w:color w:val="1155CC"/>
            <w:u w:val="single"/>
          </w:rPr>
          <w:t>Phet</w:t>
        </w:r>
        <w:proofErr w:type="spellEnd"/>
        <w:r>
          <w:rPr>
            <w:color w:val="1155CC"/>
            <w:u w:val="single"/>
          </w:rPr>
          <w:t xml:space="preserve"> simulation worksheet</w:t>
        </w:r>
      </w:hyperlink>
    </w:p>
    <w:p w:rsidR="00026E35" w:rsidRDefault="00026E35" w:rsidP="00026E35">
      <w:pPr>
        <w:pStyle w:val="normal0"/>
      </w:pPr>
    </w:p>
    <w:p w:rsidR="00026E35" w:rsidRDefault="00026E35" w:rsidP="00026E35">
      <w:pPr>
        <w:pStyle w:val="normal0"/>
      </w:pPr>
      <w:r>
        <w:rPr>
          <w:u w:val="single"/>
        </w:rPr>
        <w:t>Homework</w:t>
      </w:r>
      <w:r>
        <w:t xml:space="preserve">:  Watch dilution flipped video notes to concrete knowledge. Students will need to develop some ideas for finding the concentration. They will need to write 3 sentences with testing ideas.  </w:t>
      </w:r>
    </w:p>
    <w:p w:rsidR="00026E35" w:rsidRDefault="00026E35" w:rsidP="00026E35">
      <w:pPr>
        <w:pStyle w:val="normal0"/>
      </w:pPr>
      <w:r>
        <w:t>*</w:t>
      </w:r>
      <w:hyperlink r:id="rId13">
        <w:r>
          <w:rPr>
            <w:color w:val="1155CC"/>
            <w:u w:val="single"/>
          </w:rPr>
          <w:t>Dilutions Flipped Notes</w:t>
        </w:r>
      </w:hyperlink>
    </w:p>
    <w:p w:rsidR="00026E35" w:rsidRDefault="00026E35" w:rsidP="00026E35">
      <w:pPr>
        <w:pStyle w:val="normal0"/>
      </w:pPr>
    </w:p>
    <w:p w:rsidR="00026E35" w:rsidRDefault="00026E35" w:rsidP="00026E35">
      <w:pPr>
        <w:pStyle w:val="normal0"/>
        <w:rPr>
          <w:b/>
          <w:u w:val="single"/>
        </w:rPr>
      </w:pPr>
    </w:p>
    <w:p w:rsidR="00026E35" w:rsidRDefault="00026E35" w:rsidP="00026E35">
      <w:pPr>
        <w:pStyle w:val="normal0"/>
        <w:rPr>
          <w:b/>
          <w:u w:val="single"/>
        </w:rPr>
      </w:pPr>
      <w:r>
        <w:rPr>
          <w:b/>
          <w:u w:val="single"/>
        </w:rPr>
        <w:t>Day 4:  Create calibration curve</w:t>
      </w:r>
    </w:p>
    <w:p w:rsidR="00026E35" w:rsidRDefault="00026E35" w:rsidP="00026E35">
      <w:pPr>
        <w:pStyle w:val="normal0"/>
      </w:pPr>
      <w:proofErr w:type="spellStart"/>
      <w:r>
        <w:t>Bellringer</w:t>
      </w:r>
      <w:proofErr w:type="spellEnd"/>
      <w:r>
        <w:t xml:space="preserve">: Pair up with another student and discuss ideas as to how to find the right concentration. </w:t>
      </w:r>
    </w:p>
    <w:p w:rsidR="00026E35" w:rsidRDefault="00026E35" w:rsidP="00026E35">
      <w:pPr>
        <w:pStyle w:val="normal0"/>
      </w:pPr>
    </w:p>
    <w:p w:rsidR="00026E35" w:rsidRDefault="00026E35" w:rsidP="00026E35">
      <w:pPr>
        <w:pStyle w:val="normal0"/>
      </w:pPr>
      <w:r>
        <w:t xml:space="preserve">Students will present their ideas to the class and with teacher </w:t>
      </w:r>
      <w:proofErr w:type="gramStart"/>
      <w:r>
        <w:t>guidance,</w:t>
      </w:r>
      <w:proofErr w:type="gramEnd"/>
      <w:r>
        <w:t xml:space="preserve"> we will develop ideas for the “procedure.” It will be determined that we will need to do </w:t>
      </w:r>
      <w:proofErr w:type="spellStart"/>
      <w:r>
        <w:t>photospectrometry</w:t>
      </w:r>
      <w:proofErr w:type="spellEnd"/>
      <w:r>
        <w:t>.  In order for this to work, we will need to make a calibration curve of known concentrations.  Then we should be able to use the calibration curve to test the known solution. The actual procedure will be handed out and students will read through it.  We will create the data table and do an example dilution problem.</w:t>
      </w:r>
    </w:p>
    <w:p w:rsidR="00026E35" w:rsidRDefault="00026E35" w:rsidP="00026E35">
      <w:pPr>
        <w:pStyle w:val="normal0"/>
      </w:pPr>
    </w:p>
    <w:p w:rsidR="00026E35" w:rsidRDefault="00026E35" w:rsidP="00026E35">
      <w:pPr>
        <w:pStyle w:val="normal0"/>
      </w:pPr>
      <w:r>
        <w:t xml:space="preserve">Assume </w:t>
      </w:r>
      <w:proofErr w:type="spellStart"/>
      <w:r>
        <w:t>kool-aid</w:t>
      </w:r>
      <w:proofErr w:type="spellEnd"/>
      <w:r>
        <w:t xml:space="preserve"> has a molar mass of 40g/</w:t>
      </w:r>
      <w:proofErr w:type="spellStart"/>
      <w:r>
        <w:t>mol</w:t>
      </w:r>
      <w:proofErr w:type="spellEnd"/>
    </w:p>
    <w:p w:rsidR="00026E35" w:rsidRDefault="00026E35" w:rsidP="00026E35">
      <w:pPr>
        <w:pStyle w:val="normal0"/>
      </w:pPr>
    </w:p>
    <w:p w:rsidR="00026E35" w:rsidRDefault="00026E35" w:rsidP="00026E35">
      <w:pPr>
        <w:pStyle w:val="normal0"/>
      </w:pPr>
      <w:r>
        <w:rPr>
          <w:u w:val="single"/>
        </w:rPr>
        <w:t xml:space="preserve">2.5 grams </w:t>
      </w:r>
      <w:proofErr w:type="spellStart"/>
      <w:r>
        <w:rPr>
          <w:u w:val="single"/>
        </w:rPr>
        <w:t>kool-aid</w:t>
      </w:r>
      <w:proofErr w:type="spellEnd"/>
      <w:r>
        <w:t xml:space="preserve">      x      </w:t>
      </w:r>
      <w:r>
        <w:rPr>
          <w:u w:val="single"/>
        </w:rPr>
        <w:t xml:space="preserve">1 </w:t>
      </w:r>
      <w:proofErr w:type="spellStart"/>
      <w:r>
        <w:rPr>
          <w:u w:val="single"/>
        </w:rPr>
        <w:t>mol</w:t>
      </w:r>
      <w:proofErr w:type="spellEnd"/>
      <w:r>
        <w:t xml:space="preserve">        x      </w:t>
      </w:r>
      <w:r>
        <w:rPr>
          <w:u w:val="single"/>
        </w:rPr>
        <w:t>1000 mL</w:t>
      </w:r>
      <w:r>
        <w:t xml:space="preserve"> </w:t>
      </w:r>
      <w:proofErr w:type="gramStart"/>
      <w:r>
        <w:t>=  0.31M</w:t>
      </w:r>
      <w:proofErr w:type="gramEnd"/>
    </w:p>
    <w:p w:rsidR="00026E35" w:rsidRDefault="00026E35" w:rsidP="00026E35">
      <w:pPr>
        <w:pStyle w:val="normal0"/>
      </w:pPr>
      <w:r>
        <w:t>200 mL water</w:t>
      </w:r>
      <w:r>
        <w:tab/>
      </w:r>
      <w:r>
        <w:tab/>
        <w:t xml:space="preserve">      40 grams              1 Liter</w:t>
      </w:r>
    </w:p>
    <w:tbl>
      <w:tblPr>
        <w:tblW w:w="8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
        <w:gridCol w:w="1092"/>
        <w:gridCol w:w="1094"/>
        <w:gridCol w:w="1094"/>
        <w:gridCol w:w="1094"/>
        <w:gridCol w:w="1575"/>
        <w:gridCol w:w="1433"/>
      </w:tblGrid>
      <w:tr w:rsidR="00026E35" w:rsidTr="000F3A6D">
        <w:tc>
          <w:tcPr>
            <w:tcW w:w="1105" w:type="dxa"/>
          </w:tcPr>
          <w:p w:rsidR="00026E35" w:rsidRDefault="00026E35" w:rsidP="000F3A6D">
            <w:pPr>
              <w:pStyle w:val="normal0"/>
              <w:jc w:val="center"/>
            </w:pPr>
            <w:r>
              <w:t>Solution</w:t>
            </w:r>
          </w:p>
        </w:tc>
        <w:tc>
          <w:tcPr>
            <w:tcW w:w="1092" w:type="dxa"/>
          </w:tcPr>
          <w:p w:rsidR="00026E35" w:rsidRDefault="00026E35" w:rsidP="000F3A6D">
            <w:pPr>
              <w:pStyle w:val="normal0"/>
              <w:jc w:val="center"/>
            </w:pPr>
            <w:r>
              <w:t>M1 (M)</w:t>
            </w:r>
          </w:p>
        </w:tc>
        <w:tc>
          <w:tcPr>
            <w:tcW w:w="1094" w:type="dxa"/>
          </w:tcPr>
          <w:p w:rsidR="00026E35" w:rsidRDefault="00026E35" w:rsidP="000F3A6D">
            <w:pPr>
              <w:pStyle w:val="normal0"/>
              <w:jc w:val="center"/>
            </w:pPr>
            <w:r>
              <w:t>V1 (mL)</w:t>
            </w:r>
          </w:p>
        </w:tc>
        <w:tc>
          <w:tcPr>
            <w:tcW w:w="1094" w:type="dxa"/>
          </w:tcPr>
          <w:p w:rsidR="00026E35" w:rsidRDefault="00026E35" w:rsidP="000F3A6D">
            <w:pPr>
              <w:pStyle w:val="normal0"/>
              <w:jc w:val="center"/>
            </w:pPr>
            <w:r>
              <w:t>V2 (mL)</w:t>
            </w:r>
          </w:p>
        </w:tc>
        <w:tc>
          <w:tcPr>
            <w:tcW w:w="1094" w:type="dxa"/>
          </w:tcPr>
          <w:p w:rsidR="00026E35" w:rsidRDefault="00026E35" w:rsidP="000F3A6D">
            <w:pPr>
              <w:pStyle w:val="normal0"/>
              <w:jc w:val="center"/>
            </w:pPr>
            <w:r>
              <w:t xml:space="preserve">M2 Final </w:t>
            </w:r>
            <w:proofErr w:type="gramStart"/>
            <w:r>
              <w:t>[ ]</w:t>
            </w:r>
            <w:proofErr w:type="gramEnd"/>
          </w:p>
        </w:tc>
        <w:tc>
          <w:tcPr>
            <w:tcW w:w="1575" w:type="dxa"/>
          </w:tcPr>
          <w:p w:rsidR="00026E35" w:rsidRDefault="00026E35" w:rsidP="000F3A6D">
            <w:pPr>
              <w:pStyle w:val="normal0"/>
              <w:jc w:val="center"/>
            </w:pPr>
            <w:r>
              <w:t>Observations</w:t>
            </w:r>
          </w:p>
        </w:tc>
        <w:tc>
          <w:tcPr>
            <w:tcW w:w="1433" w:type="dxa"/>
          </w:tcPr>
          <w:p w:rsidR="00026E35" w:rsidRDefault="00026E35" w:rsidP="000F3A6D">
            <w:pPr>
              <w:pStyle w:val="normal0"/>
              <w:jc w:val="center"/>
            </w:pPr>
            <w:r>
              <w:t>Absorbance</w:t>
            </w:r>
          </w:p>
        </w:tc>
      </w:tr>
      <w:tr w:rsidR="00026E35" w:rsidTr="000F3A6D">
        <w:tc>
          <w:tcPr>
            <w:tcW w:w="1105" w:type="dxa"/>
          </w:tcPr>
          <w:p w:rsidR="00026E35" w:rsidRDefault="00026E35" w:rsidP="000F3A6D">
            <w:pPr>
              <w:pStyle w:val="normal0"/>
              <w:jc w:val="center"/>
            </w:pPr>
            <w:r>
              <w:t>A</w:t>
            </w:r>
          </w:p>
        </w:tc>
        <w:tc>
          <w:tcPr>
            <w:tcW w:w="1092" w:type="dxa"/>
          </w:tcPr>
          <w:p w:rsidR="00026E35" w:rsidRDefault="00026E35" w:rsidP="000F3A6D">
            <w:pPr>
              <w:pStyle w:val="normal0"/>
              <w:rPr>
                <w:color w:val="C0504D"/>
              </w:rPr>
            </w:pPr>
            <w:r>
              <w:rPr>
                <w:color w:val="C0504D"/>
              </w:rPr>
              <w:t>0.31</w:t>
            </w:r>
          </w:p>
        </w:tc>
        <w:tc>
          <w:tcPr>
            <w:tcW w:w="1094" w:type="dxa"/>
          </w:tcPr>
          <w:p w:rsidR="00026E35" w:rsidRDefault="00026E35" w:rsidP="000F3A6D">
            <w:pPr>
              <w:pStyle w:val="normal0"/>
              <w:rPr>
                <w:color w:val="C0504D"/>
              </w:rPr>
            </w:pPr>
            <w:r>
              <w:rPr>
                <w:color w:val="C0504D"/>
              </w:rPr>
              <w:t>200</w:t>
            </w:r>
          </w:p>
        </w:tc>
        <w:tc>
          <w:tcPr>
            <w:tcW w:w="1094" w:type="dxa"/>
          </w:tcPr>
          <w:p w:rsidR="00026E35" w:rsidRDefault="00026E35" w:rsidP="000F3A6D">
            <w:pPr>
              <w:pStyle w:val="normal0"/>
            </w:pPr>
          </w:p>
        </w:tc>
        <w:tc>
          <w:tcPr>
            <w:tcW w:w="1094" w:type="dxa"/>
          </w:tcPr>
          <w:p w:rsidR="00026E35" w:rsidRDefault="00026E35" w:rsidP="000F3A6D">
            <w:pPr>
              <w:pStyle w:val="normal0"/>
              <w:rPr>
                <w:color w:val="C0504D"/>
              </w:rPr>
            </w:pPr>
            <w:r>
              <w:rPr>
                <w:color w:val="C0504D"/>
              </w:rPr>
              <w:t>0.31</w:t>
            </w:r>
          </w:p>
        </w:tc>
        <w:tc>
          <w:tcPr>
            <w:tcW w:w="1575" w:type="dxa"/>
          </w:tcPr>
          <w:p w:rsidR="00026E35" w:rsidRDefault="00026E35" w:rsidP="000F3A6D">
            <w:pPr>
              <w:pStyle w:val="normal0"/>
            </w:pPr>
          </w:p>
        </w:tc>
        <w:tc>
          <w:tcPr>
            <w:tcW w:w="1433" w:type="dxa"/>
          </w:tcPr>
          <w:p w:rsidR="00026E35" w:rsidRDefault="00026E35" w:rsidP="000F3A6D">
            <w:pPr>
              <w:pStyle w:val="normal0"/>
            </w:pPr>
          </w:p>
        </w:tc>
      </w:tr>
      <w:tr w:rsidR="00026E35" w:rsidTr="000F3A6D">
        <w:tc>
          <w:tcPr>
            <w:tcW w:w="1105" w:type="dxa"/>
          </w:tcPr>
          <w:p w:rsidR="00026E35" w:rsidRDefault="00026E35" w:rsidP="000F3A6D">
            <w:pPr>
              <w:pStyle w:val="normal0"/>
              <w:jc w:val="center"/>
            </w:pPr>
            <w:r>
              <w:t>B</w:t>
            </w:r>
          </w:p>
        </w:tc>
        <w:tc>
          <w:tcPr>
            <w:tcW w:w="1092" w:type="dxa"/>
          </w:tcPr>
          <w:p w:rsidR="00026E35" w:rsidRDefault="00026E35" w:rsidP="000F3A6D">
            <w:pPr>
              <w:pStyle w:val="normal0"/>
              <w:rPr>
                <w:color w:val="C0504D"/>
              </w:rPr>
            </w:pPr>
            <w:r>
              <w:rPr>
                <w:color w:val="C0504D"/>
              </w:rPr>
              <w:t>0.31</w:t>
            </w:r>
          </w:p>
        </w:tc>
        <w:tc>
          <w:tcPr>
            <w:tcW w:w="1094" w:type="dxa"/>
          </w:tcPr>
          <w:p w:rsidR="00026E35" w:rsidRDefault="00026E35" w:rsidP="000F3A6D">
            <w:pPr>
              <w:pStyle w:val="normal0"/>
              <w:rPr>
                <w:color w:val="C0504D"/>
              </w:rPr>
            </w:pPr>
            <w:r>
              <w:rPr>
                <w:color w:val="C0504D"/>
              </w:rPr>
              <w:t>100</w:t>
            </w:r>
          </w:p>
        </w:tc>
        <w:tc>
          <w:tcPr>
            <w:tcW w:w="1094" w:type="dxa"/>
          </w:tcPr>
          <w:p w:rsidR="00026E35" w:rsidRDefault="00026E35" w:rsidP="000F3A6D">
            <w:pPr>
              <w:pStyle w:val="normal0"/>
              <w:rPr>
                <w:color w:val="C0504D"/>
              </w:rPr>
            </w:pPr>
            <w:r>
              <w:rPr>
                <w:color w:val="C0504D"/>
              </w:rPr>
              <w:t>200</w:t>
            </w:r>
          </w:p>
        </w:tc>
        <w:tc>
          <w:tcPr>
            <w:tcW w:w="1094" w:type="dxa"/>
          </w:tcPr>
          <w:p w:rsidR="00026E35" w:rsidRDefault="00026E35" w:rsidP="000F3A6D">
            <w:pPr>
              <w:pStyle w:val="normal0"/>
              <w:rPr>
                <w:color w:val="C0504D"/>
              </w:rPr>
            </w:pPr>
            <w:r>
              <w:rPr>
                <w:color w:val="C0504D"/>
              </w:rPr>
              <w:t>0.125</w:t>
            </w:r>
          </w:p>
        </w:tc>
        <w:tc>
          <w:tcPr>
            <w:tcW w:w="1575" w:type="dxa"/>
          </w:tcPr>
          <w:p w:rsidR="00026E35" w:rsidRDefault="00026E35" w:rsidP="000F3A6D">
            <w:pPr>
              <w:pStyle w:val="normal0"/>
            </w:pPr>
          </w:p>
        </w:tc>
        <w:tc>
          <w:tcPr>
            <w:tcW w:w="1433" w:type="dxa"/>
          </w:tcPr>
          <w:p w:rsidR="00026E35" w:rsidRDefault="00026E35" w:rsidP="000F3A6D">
            <w:pPr>
              <w:pStyle w:val="normal0"/>
            </w:pPr>
          </w:p>
        </w:tc>
      </w:tr>
      <w:tr w:rsidR="00026E35" w:rsidTr="000F3A6D">
        <w:tc>
          <w:tcPr>
            <w:tcW w:w="1105" w:type="dxa"/>
          </w:tcPr>
          <w:p w:rsidR="00026E35" w:rsidRDefault="00026E35" w:rsidP="000F3A6D">
            <w:pPr>
              <w:pStyle w:val="normal0"/>
              <w:jc w:val="center"/>
            </w:pPr>
            <w:r>
              <w:t>C</w:t>
            </w:r>
          </w:p>
        </w:tc>
        <w:tc>
          <w:tcPr>
            <w:tcW w:w="1092" w:type="dxa"/>
          </w:tcPr>
          <w:p w:rsidR="00026E35" w:rsidRDefault="00026E35" w:rsidP="000F3A6D">
            <w:pPr>
              <w:pStyle w:val="normal0"/>
              <w:rPr>
                <w:color w:val="C0504D"/>
              </w:rPr>
            </w:pPr>
            <w:r>
              <w:rPr>
                <w:color w:val="C0504D"/>
              </w:rPr>
              <w:t>0.125</w:t>
            </w:r>
          </w:p>
        </w:tc>
        <w:tc>
          <w:tcPr>
            <w:tcW w:w="1094" w:type="dxa"/>
          </w:tcPr>
          <w:p w:rsidR="00026E35" w:rsidRDefault="00026E35" w:rsidP="000F3A6D">
            <w:pPr>
              <w:pStyle w:val="normal0"/>
              <w:rPr>
                <w:color w:val="C0504D"/>
              </w:rPr>
            </w:pPr>
            <w:r>
              <w:rPr>
                <w:color w:val="C0504D"/>
              </w:rPr>
              <w:t>100</w:t>
            </w:r>
          </w:p>
        </w:tc>
        <w:tc>
          <w:tcPr>
            <w:tcW w:w="1094" w:type="dxa"/>
          </w:tcPr>
          <w:p w:rsidR="00026E35" w:rsidRDefault="00026E35" w:rsidP="000F3A6D">
            <w:pPr>
              <w:pStyle w:val="normal0"/>
              <w:rPr>
                <w:color w:val="C0504D"/>
              </w:rPr>
            </w:pPr>
            <w:r>
              <w:rPr>
                <w:color w:val="C0504D"/>
              </w:rPr>
              <w:t>200</w:t>
            </w:r>
          </w:p>
        </w:tc>
        <w:tc>
          <w:tcPr>
            <w:tcW w:w="1094" w:type="dxa"/>
          </w:tcPr>
          <w:p w:rsidR="00026E35" w:rsidRDefault="00026E35" w:rsidP="000F3A6D">
            <w:pPr>
              <w:pStyle w:val="normal0"/>
              <w:rPr>
                <w:color w:val="C0504D"/>
              </w:rPr>
            </w:pPr>
            <w:r>
              <w:rPr>
                <w:color w:val="C0504D"/>
              </w:rPr>
              <w:t>0.0625</w:t>
            </w:r>
          </w:p>
        </w:tc>
        <w:tc>
          <w:tcPr>
            <w:tcW w:w="1575" w:type="dxa"/>
          </w:tcPr>
          <w:p w:rsidR="00026E35" w:rsidRDefault="00026E35" w:rsidP="000F3A6D">
            <w:pPr>
              <w:pStyle w:val="normal0"/>
            </w:pPr>
          </w:p>
        </w:tc>
        <w:tc>
          <w:tcPr>
            <w:tcW w:w="1433" w:type="dxa"/>
          </w:tcPr>
          <w:p w:rsidR="00026E35" w:rsidRDefault="00026E35" w:rsidP="000F3A6D">
            <w:pPr>
              <w:pStyle w:val="normal0"/>
            </w:pPr>
          </w:p>
        </w:tc>
      </w:tr>
      <w:tr w:rsidR="00026E35" w:rsidTr="000F3A6D">
        <w:tc>
          <w:tcPr>
            <w:tcW w:w="1105" w:type="dxa"/>
          </w:tcPr>
          <w:p w:rsidR="00026E35" w:rsidRDefault="00026E35" w:rsidP="000F3A6D">
            <w:pPr>
              <w:pStyle w:val="normal0"/>
              <w:jc w:val="center"/>
            </w:pPr>
            <w:r>
              <w:t>D</w:t>
            </w:r>
          </w:p>
        </w:tc>
        <w:tc>
          <w:tcPr>
            <w:tcW w:w="1092" w:type="dxa"/>
          </w:tcPr>
          <w:p w:rsidR="00026E35" w:rsidRDefault="00026E35" w:rsidP="000F3A6D">
            <w:pPr>
              <w:pStyle w:val="normal0"/>
              <w:rPr>
                <w:color w:val="C0504D"/>
              </w:rPr>
            </w:pPr>
            <w:r>
              <w:rPr>
                <w:color w:val="C0504D"/>
              </w:rPr>
              <w:t>0.0625</w:t>
            </w:r>
          </w:p>
        </w:tc>
        <w:tc>
          <w:tcPr>
            <w:tcW w:w="1094" w:type="dxa"/>
          </w:tcPr>
          <w:p w:rsidR="00026E35" w:rsidRDefault="00026E35" w:rsidP="000F3A6D">
            <w:pPr>
              <w:pStyle w:val="normal0"/>
              <w:rPr>
                <w:color w:val="C0504D"/>
              </w:rPr>
            </w:pPr>
            <w:r>
              <w:rPr>
                <w:color w:val="C0504D"/>
              </w:rPr>
              <w:t>100</w:t>
            </w:r>
          </w:p>
        </w:tc>
        <w:tc>
          <w:tcPr>
            <w:tcW w:w="1094" w:type="dxa"/>
          </w:tcPr>
          <w:p w:rsidR="00026E35" w:rsidRDefault="00026E35" w:rsidP="000F3A6D">
            <w:pPr>
              <w:pStyle w:val="normal0"/>
              <w:rPr>
                <w:color w:val="C0504D"/>
              </w:rPr>
            </w:pPr>
            <w:r>
              <w:rPr>
                <w:color w:val="C0504D"/>
              </w:rPr>
              <w:t>200</w:t>
            </w:r>
          </w:p>
        </w:tc>
        <w:tc>
          <w:tcPr>
            <w:tcW w:w="1094" w:type="dxa"/>
          </w:tcPr>
          <w:p w:rsidR="00026E35" w:rsidRDefault="00026E35" w:rsidP="000F3A6D">
            <w:pPr>
              <w:pStyle w:val="normal0"/>
              <w:rPr>
                <w:color w:val="C0504D"/>
              </w:rPr>
            </w:pPr>
            <w:r>
              <w:rPr>
                <w:color w:val="C0504D"/>
              </w:rPr>
              <w:t>0.0313</w:t>
            </w:r>
          </w:p>
        </w:tc>
        <w:tc>
          <w:tcPr>
            <w:tcW w:w="1575" w:type="dxa"/>
          </w:tcPr>
          <w:p w:rsidR="00026E35" w:rsidRDefault="00026E35" w:rsidP="000F3A6D">
            <w:pPr>
              <w:pStyle w:val="normal0"/>
            </w:pPr>
          </w:p>
        </w:tc>
        <w:tc>
          <w:tcPr>
            <w:tcW w:w="1433" w:type="dxa"/>
          </w:tcPr>
          <w:p w:rsidR="00026E35" w:rsidRDefault="00026E35" w:rsidP="000F3A6D">
            <w:pPr>
              <w:pStyle w:val="normal0"/>
            </w:pPr>
          </w:p>
        </w:tc>
      </w:tr>
      <w:tr w:rsidR="00026E35" w:rsidTr="000F3A6D">
        <w:tc>
          <w:tcPr>
            <w:tcW w:w="1105" w:type="dxa"/>
          </w:tcPr>
          <w:p w:rsidR="00026E35" w:rsidRDefault="00026E35" w:rsidP="000F3A6D">
            <w:pPr>
              <w:pStyle w:val="normal0"/>
              <w:jc w:val="center"/>
            </w:pPr>
            <w:r>
              <w:t>E</w:t>
            </w:r>
          </w:p>
        </w:tc>
        <w:tc>
          <w:tcPr>
            <w:tcW w:w="1092" w:type="dxa"/>
          </w:tcPr>
          <w:p w:rsidR="00026E35" w:rsidRDefault="00026E35" w:rsidP="000F3A6D">
            <w:pPr>
              <w:pStyle w:val="normal0"/>
              <w:rPr>
                <w:color w:val="C0504D"/>
              </w:rPr>
            </w:pPr>
            <w:r>
              <w:rPr>
                <w:color w:val="C0504D"/>
              </w:rPr>
              <w:t>0.03125</w:t>
            </w:r>
          </w:p>
        </w:tc>
        <w:tc>
          <w:tcPr>
            <w:tcW w:w="1094" w:type="dxa"/>
          </w:tcPr>
          <w:p w:rsidR="00026E35" w:rsidRDefault="00026E35" w:rsidP="000F3A6D">
            <w:pPr>
              <w:pStyle w:val="normal0"/>
              <w:rPr>
                <w:color w:val="C0504D"/>
              </w:rPr>
            </w:pPr>
            <w:r>
              <w:rPr>
                <w:color w:val="C0504D"/>
              </w:rPr>
              <w:t>100</w:t>
            </w:r>
          </w:p>
        </w:tc>
        <w:tc>
          <w:tcPr>
            <w:tcW w:w="1094" w:type="dxa"/>
          </w:tcPr>
          <w:p w:rsidR="00026E35" w:rsidRDefault="00026E35" w:rsidP="000F3A6D">
            <w:pPr>
              <w:pStyle w:val="normal0"/>
              <w:rPr>
                <w:color w:val="C0504D"/>
              </w:rPr>
            </w:pPr>
            <w:r>
              <w:rPr>
                <w:color w:val="C0504D"/>
              </w:rPr>
              <w:t>200</w:t>
            </w:r>
          </w:p>
        </w:tc>
        <w:tc>
          <w:tcPr>
            <w:tcW w:w="1094" w:type="dxa"/>
          </w:tcPr>
          <w:p w:rsidR="00026E35" w:rsidRDefault="00026E35" w:rsidP="000F3A6D">
            <w:pPr>
              <w:pStyle w:val="normal0"/>
              <w:rPr>
                <w:color w:val="C0504D"/>
              </w:rPr>
            </w:pPr>
            <w:r>
              <w:rPr>
                <w:color w:val="C0504D"/>
              </w:rPr>
              <w:t>0.0156</w:t>
            </w:r>
          </w:p>
        </w:tc>
        <w:tc>
          <w:tcPr>
            <w:tcW w:w="1575" w:type="dxa"/>
          </w:tcPr>
          <w:p w:rsidR="00026E35" w:rsidRDefault="00026E35" w:rsidP="000F3A6D">
            <w:pPr>
              <w:pStyle w:val="normal0"/>
            </w:pPr>
          </w:p>
        </w:tc>
        <w:tc>
          <w:tcPr>
            <w:tcW w:w="1433" w:type="dxa"/>
          </w:tcPr>
          <w:p w:rsidR="00026E35" w:rsidRDefault="00026E35" w:rsidP="000F3A6D">
            <w:pPr>
              <w:pStyle w:val="normal0"/>
            </w:pPr>
          </w:p>
        </w:tc>
      </w:tr>
      <w:tr w:rsidR="00026E35" w:rsidTr="000F3A6D">
        <w:tc>
          <w:tcPr>
            <w:tcW w:w="1105" w:type="dxa"/>
          </w:tcPr>
          <w:p w:rsidR="00026E35" w:rsidRDefault="00026E35" w:rsidP="000F3A6D">
            <w:pPr>
              <w:pStyle w:val="normal0"/>
              <w:jc w:val="center"/>
            </w:pPr>
            <w:r>
              <w:t>F</w:t>
            </w:r>
          </w:p>
        </w:tc>
        <w:tc>
          <w:tcPr>
            <w:tcW w:w="1092" w:type="dxa"/>
          </w:tcPr>
          <w:p w:rsidR="00026E35" w:rsidRDefault="00026E35" w:rsidP="000F3A6D">
            <w:pPr>
              <w:pStyle w:val="normal0"/>
              <w:rPr>
                <w:color w:val="C0504D"/>
              </w:rPr>
            </w:pPr>
            <w:r>
              <w:rPr>
                <w:color w:val="C0504D"/>
              </w:rPr>
              <w:t>0.0156</w:t>
            </w:r>
          </w:p>
        </w:tc>
        <w:tc>
          <w:tcPr>
            <w:tcW w:w="1094" w:type="dxa"/>
          </w:tcPr>
          <w:p w:rsidR="00026E35" w:rsidRDefault="00026E35" w:rsidP="000F3A6D">
            <w:pPr>
              <w:pStyle w:val="normal0"/>
              <w:rPr>
                <w:color w:val="C0504D"/>
              </w:rPr>
            </w:pPr>
            <w:r>
              <w:rPr>
                <w:color w:val="C0504D"/>
              </w:rPr>
              <w:t>100</w:t>
            </w:r>
          </w:p>
        </w:tc>
        <w:tc>
          <w:tcPr>
            <w:tcW w:w="1094" w:type="dxa"/>
          </w:tcPr>
          <w:p w:rsidR="00026E35" w:rsidRDefault="00026E35" w:rsidP="000F3A6D">
            <w:pPr>
              <w:pStyle w:val="normal0"/>
              <w:rPr>
                <w:color w:val="C0504D"/>
              </w:rPr>
            </w:pPr>
            <w:r>
              <w:rPr>
                <w:color w:val="C0504D"/>
              </w:rPr>
              <w:t>200</w:t>
            </w:r>
          </w:p>
        </w:tc>
        <w:tc>
          <w:tcPr>
            <w:tcW w:w="1094" w:type="dxa"/>
          </w:tcPr>
          <w:p w:rsidR="00026E35" w:rsidRDefault="00026E35" w:rsidP="000F3A6D">
            <w:pPr>
              <w:pStyle w:val="normal0"/>
              <w:rPr>
                <w:color w:val="C0504D"/>
              </w:rPr>
            </w:pPr>
            <w:r>
              <w:rPr>
                <w:color w:val="C0504D"/>
              </w:rPr>
              <w:t>0.0078</w:t>
            </w:r>
          </w:p>
        </w:tc>
        <w:tc>
          <w:tcPr>
            <w:tcW w:w="1575" w:type="dxa"/>
          </w:tcPr>
          <w:p w:rsidR="00026E35" w:rsidRDefault="00026E35" w:rsidP="000F3A6D">
            <w:pPr>
              <w:pStyle w:val="normal0"/>
            </w:pPr>
          </w:p>
        </w:tc>
        <w:tc>
          <w:tcPr>
            <w:tcW w:w="1433" w:type="dxa"/>
          </w:tcPr>
          <w:p w:rsidR="00026E35" w:rsidRDefault="00026E35" w:rsidP="000F3A6D">
            <w:pPr>
              <w:pStyle w:val="normal0"/>
            </w:pPr>
          </w:p>
        </w:tc>
      </w:tr>
    </w:tbl>
    <w:p w:rsidR="00026E35" w:rsidRDefault="00026E35" w:rsidP="00026E35">
      <w:pPr>
        <w:pStyle w:val="normal0"/>
      </w:pPr>
    </w:p>
    <w:p w:rsidR="00026E35" w:rsidRDefault="00026E35" w:rsidP="00026E35">
      <w:pPr>
        <w:pStyle w:val="normal0"/>
      </w:pPr>
      <w:r>
        <w:t>*</w:t>
      </w:r>
      <w:hyperlink r:id="rId14">
        <w:r>
          <w:rPr>
            <w:color w:val="1155CC"/>
            <w:u w:val="single"/>
          </w:rPr>
          <w:t>Calibration procedure</w:t>
        </w:r>
      </w:hyperlink>
    </w:p>
    <w:p w:rsidR="00026E35" w:rsidRDefault="00026E35" w:rsidP="00026E35">
      <w:pPr>
        <w:pStyle w:val="normal0"/>
      </w:pPr>
    </w:p>
    <w:p w:rsidR="00026E35" w:rsidRDefault="00026E35" w:rsidP="00026E35">
      <w:pPr>
        <w:pStyle w:val="normal0"/>
      </w:pPr>
    </w:p>
    <w:p w:rsidR="00026E35" w:rsidRDefault="00026E35" w:rsidP="00026E35">
      <w:pPr>
        <w:pStyle w:val="normal0"/>
        <w:rPr>
          <w:b/>
          <w:u w:val="single"/>
        </w:rPr>
      </w:pPr>
      <w:r>
        <w:rPr>
          <w:b/>
          <w:u w:val="single"/>
        </w:rPr>
        <w:t>Day 5:  Analyze unknown and Final Queen Recipe</w:t>
      </w:r>
    </w:p>
    <w:p w:rsidR="00026E35" w:rsidRDefault="00026E35" w:rsidP="00026E35">
      <w:pPr>
        <w:pStyle w:val="normal0"/>
        <w:rPr>
          <w:b/>
          <w:u w:val="single"/>
        </w:rPr>
      </w:pPr>
    </w:p>
    <w:p w:rsidR="00026E35" w:rsidRDefault="00026E35" w:rsidP="00026E35">
      <w:pPr>
        <w:pStyle w:val="normal0"/>
      </w:pPr>
      <w:r>
        <w:rPr>
          <w:u w:val="single"/>
        </w:rPr>
        <w:t>Bell ringer:</w:t>
      </w:r>
      <w:r>
        <w:t xml:space="preserve">  Students will evaluate their progress and state their goals for the day.</w:t>
      </w:r>
    </w:p>
    <w:p w:rsidR="00026E35" w:rsidRDefault="00026E35" w:rsidP="00026E35">
      <w:pPr>
        <w:pStyle w:val="normal0"/>
      </w:pPr>
    </w:p>
    <w:p w:rsidR="00026E35" w:rsidRDefault="00026E35" w:rsidP="00026E35">
      <w:pPr>
        <w:pStyle w:val="normal0"/>
      </w:pPr>
      <w:r>
        <w:t xml:space="preserve">Students will complete any part of the calibration they need.  Then they will fill a </w:t>
      </w:r>
      <w:proofErr w:type="spellStart"/>
      <w:r>
        <w:t>cuvet</w:t>
      </w:r>
      <w:proofErr w:type="spellEnd"/>
      <w:r>
        <w:t xml:space="preserve"> with a sample of the unknown and analyze the unknown solution with the spectrophotometer and calibration curve. </w:t>
      </w:r>
    </w:p>
    <w:p w:rsidR="00026E35" w:rsidRDefault="00026E35" w:rsidP="00026E35">
      <w:pPr>
        <w:pStyle w:val="normal0"/>
      </w:pPr>
    </w:p>
    <w:p w:rsidR="00026E35" w:rsidRDefault="00026E35" w:rsidP="00026E35">
      <w:pPr>
        <w:pStyle w:val="normal0"/>
      </w:pPr>
      <w:r>
        <w:t>*</w:t>
      </w:r>
      <w:hyperlink r:id="rId15">
        <w:r>
          <w:rPr>
            <w:color w:val="1155CC"/>
            <w:u w:val="single"/>
          </w:rPr>
          <w:t xml:space="preserve">Queen’s Drink Instructions – Analysis of Unknown </w:t>
        </w:r>
      </w:hyperlink>
    </w:p>
    <w:p w:rsidR="00026E35" w:rsidRDefault="00026E35" w:rsidP="00026E35">
      <w:pPr>
        <w:pStyle w:val="normal0"/>
      </w:pPr>
    </w:p>
    <w:p w:rsidR="00026E35" w:rsidRDefault="00026E35" w:rsidP="00026E35">
      <w:pPr>
        <w:pStyle w:val="normal0"/>
      </w:pPr>
      <w:r>
        <w:t>Students will use lab report guidelines to create a conclusion and reflection about their lab.  They will also write a final recipe that includes data from the flavoring analysis and the sugar analysis that will please the Queen.</w:t>
      </w:r>
    </w:p>
    <w:p w:rsidR="00026E35" w:rsidRDefault="00026E35" w:rsidP="00026E35">
      <w:pPr>
        <w:pStyle w:val="normal0"/>
      </w:pPr>
    </w:p>
    <w:p w:rsidR="00026E35" w:rsidRDefault="00026E35" w:rsidP="00026E35">
      <w:pPr>
        <w:pStyle w:val="normal0"/>
      </w:pPr>
      <w:r>
        <w:t>*</w:t>
      </w:r>
      <w:hyperlink r:id="rId16">
        <w:r>
          <w:rPr>
            <w:color w:val="1155CC"/>
            <w:u w:val="single"/>
          </w:rPr>
          <w:t>Queen’s Drink Instructions –Final Recipe of Queen’s Drink</w:t>
        </w:r>
      </w:hyperlink>
    </w:p>
    <w:p w:rsidR="00026E35" w:rsidRDefault="00026E35" w:rsidP="00026E35">
      <w:pPr>
        <w:pStyle w:val="normal0"/>
        <w:rPr>
          <w:rFonts w:ascii="Times" w:eastAsia="Times" w:hAnsi="Times" w:cs="Times"/>
          <w:sz w:val="20"/>
          <w:szCs w:val="20"/>
        </w:rPr>
      </w:pPr>
    </w:p>
    <w:p w:rsidR="00026E35" w:rsidRDefault="00026E35"/>
    <w:sectPr w:rsidR="00026E35" w:rsidSect="00872F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144E6"/>
    <w:multiLevelType w:val="multilevel"/>
    <w:tmpl w:val="B7327D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7EB07CE8"/>
    <w:multiLevelType w:val="multilevel"/>
    <w:tmpl w:val="5A140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35"/>
    <w:rsid w:val="00026E35"/>
    <w:rsid w:val="0087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2A14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26E35"/>
    <w:rPr>
      <w:rFonts w:ascii="Cambria" w:eastAsia="Cambria" w:hAnsi="Cambria" w:cs="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26E35"/>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goo.gl/wovcF8" TargetMode="External"/><Relationship Id="rId12" Type="http://schemas.openxmlformats.org/officeDocument/2006/relationships/hyperlink" Target="https://drive.google.com/file/d/1ATVhae7qVTVw0dF_Jl1qDCE-jBVw04ld/view?usp=sharing" TargetMode="External"/><Relationship Id="rId13" Type="http://schemas.openxmlformats.org/officeDocument/2006/relationships/hyperlink" Target="https://edpuzzle.com/media/5534787ce47b448d28251d5b" TargetMode="External"/><Relationship Id="rId14" Type="http://schemas.openxmlformats.org/officeDocument/2006/relationships/hyperlink" Target="https://drive.google.com/file/d/16ohm1Q_8HQYizyQ0QucuupMViIqLTAqa/view?usp=sharing" TargetMode="External"/><Relationship Id="rId15" Type="http://schemas.openxmlformats.org/officeDocument/2006/relationships/hyperlink" Target="https://drive.google.com/file/d/16ohm1Q_8HQYizyQ0QucuupMViIqLTAqa/view?usp=sharing" TargetMode="External"/><Relationship Id="rId16" Type="http://schemas.openxmlformats.org/officeDocument/2006/relationships/hyperlink" Target="https://drive.google.com/file/d/16ohm1Q_8HQYizyQ0QucuupMViIqLTAqa/view?usp=sharin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cs.google.com/document/d/1HvcOxtBdWrRByL-AYyRj5qTOsyoZIWVj1ib8itet8CY/edit?usp=sharing" TargetMode="External"/><Relationship Id="rId7" Type="http://schemas.openxmlformats.org/officeDocument/2006/relationships/hyperlink" Target="https://edpuzzle.com/media/5534781ae47b448d28251d56" TargetMode="External"/><Relationship Id="rId8" Type="http://schemas.openxmlformats.org/officeDocument/2006/relationships/hyperlink" Target="https://drive.google.com/file/d/0B0953uqe8RceMWVSUndJcFFIVXc/view?usp=sharing" TargetMode="External"/><Relationship Id="rId9" Type="http://schemas.openxmlformats.org/officeDocument/2006/relationships/hyperlink" Target="https://goo.gl/hqL2cu" TargetMode="External"/><Relationship Id="rId10" Type="http://schemas.openxmlformats.org/officeDocument/2006/relationships/hyperlink" Target="https://www.youtube.com/watch?v=pxC6F7bK8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1073</Words>
  <Characters>6120</Characters>
  <Application>Microsoft Macintosh Word</Application>
  <DocSecurity>0</DocSecurity>
  <Lines>51</Lines>
  <Paragraphs>14</Paragraphs>
  <ScaleCrop>false</ScaleCrop>
  <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Jones</dc:creator>
  <cp:keywords/>
  <dc:description/>
  <cp:lastModifiedBy>Jennifer Jones</cp:lastModifiedBy>
  <cp:revision>1</cp:revision>
  <dcterms:created xsi:type="dcterms:W3CDTF">2019-02-17T14:51:00Z</dcterms:created>
  <dcterms:modified xsi:type="dcterms:W3CDTF">2019-02-17T15:05:00Z</dcterms:modified>
</cp:coreProperties>
</file>